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МУГУНСКОГО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EE07BC">
        <w:rPr>
          <w:rFonts w:ascii="Times New Roman" w:hAnsi="Times New Roman" w:cs="Times New Roman"/>
          <w:sz w:val="24"/>
          <w:szCs w:val="24"/>
        </w:rPr>
        <w:t>23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EE07BC">
        <w:rPr>
          <w:rFonts w:ascii="Times New Roman" w:hAnsi="Times New Roman" w:cs="Times New Roman"/>
          <w:sz w:val="24"/>
          <w:szCs w:val="24"/>
        </w:rPr>
        <w:t>11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FF7883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sz w:val="24"/>
          <w:szCs w:val="24"/>
        </w:rPr>
        <w:t>2</w:t>
      </w:r>
      <w:r w:rsidR="00EE07BC">
        <w:rPr>
          <w:rFonts w:ascii="Times New Roman" w:hAnsi="Times New Roman" w:cs="Times New Roman"/>
          <w:sz w:val="24"/>
          <w:szCs w:val="24"/>
        </w:rPr>
        <w:t>9</w:t>
      </w:r>
      <w:r w:rsidR="00415BCD">
        <w:rPr>
          <w:rFonts w:ascii="Times New Roman" w:hAnsi="Times New Roman" w:cs="Times New Roman"/>
          <w:sz w:val="24"/>
          <w:szCs w:val="24"/>
        </w:rPr>
        <w:t>-пг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415BCD">
        <w:rPr>
          <w:rFonts w:ascii="Times New Roman" w:hAnsi="Times New Roman" w:cs="Times New Roman"/>
          <w:sz w:val="24"/>
          <w:szCs w:val="24"/>
        </w:rPr>
        <w:t>15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415BC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15B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.2014г.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</w:t>
      </w:r>
      <w:proofErr w:type="spellStart"/>
      <w:r w:rsidR="00F00ABE" w:rsidRPr="00F00ABE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="00F00ABE" w:rsidRPr="00F00ABE">
        <w:rPr>
          <w:rFonts w:ascii="Times New Roman" w:hAnsi="Times New Roman" w:cs="Times New Roman"/>
          <w:bCs/>
          <w:sz w:val="24"/>
          <w:szCs w:val="24"/>
        </w:rPr>
        <w:t>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в соответствии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N 131-ФЗ  "Об общих принципах организации местного самоуправления </w:t>
      </w:r>
      <w:proofErr w:type="gramStart"/>
      <w:r w:rsidR="000A0D3E" w:rsidRPr="000A0D3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415BCD">
        <w:rPr>
          <w:rFonts w:ascii="Times New Roman" w:hAnsi="Times New Roman" w:cs="Times New Roman"/>
          <w:sz w:val="24"/>
          <w:szCs w:val="24"/>
        </w:rPr>
        <w:t>Сибирякский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15BCD">
        <w:rPr>
          <w:rFonts w:ascii="Times New Roman" w:hAnsi="Times New Roman" w:cs="Times New Roman"/>
          <w:sz w:val="24"/>
          <w:szCs w:val="24"/>
        </w:rPr>
        <w:t>Тахаудинов</w:t>
      </w:r>
      <w:r w:rsidR="00906D3D">
        <w:rPr>
          <w:rFonts w:ascii="Times New Roman" w:hAnsi="Times New Roman" w:cs="Times New Roman"/>
          <w:sz w:val="24"/>
          <w:szCs w:val="24"/>
        </w:rPr>
        <w:t xml:space="preserve"> В.</w:t>
      </w:r>
      <w:r w:rsidR="00415BCD">
        <w:rPr>
          <w:rFonts w:ascii="Times New Roman" w:hAnsi="Times New Roman" w:cs="Times New Roman"/>
          <w:sz w:val="24"/>
          <w:szCs w:val="24"/>
        </w:rPr>
        <w:t>С.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23-пг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8732F9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разработке проекта правил землепользования и застройки</w:t>
      </w: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F9" w:rsidRPr="00762C71" w:rsidRDefault="008732F9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бор исходной информации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415BCD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415BCD">
              <w:rPr>
                <w:rFonts w:ascii="Times New Roman" w:eastAsia="Times New Roman" w:hAnsi="Times New Roman" w:cs="Times New Roman"/>
                <w:lang w:eastAsia="ru-RU"/>
              </w:rPr>
              <w:t>Сибирякского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415B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415BCD">
              <w:rPr>
                <w:rFonts w:ascii="Times New Roman" w:eastAsia="Times New Roman" w:hAnsi="Times New Roman" w:cs="Times New Roman"/>
                <w:lang w:eastAsia="ru-RU"/>
              </w:rPr>
              <w:t>Сибирякского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0D7D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0D7D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 сельского поселения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сентября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23-пг</w:t>
      </w:r>
    </w:p>
    <w:p w:rsidR="00EC50C7" w:rsidRPr="008732F9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0C7" w:rsidRPr="008732F9">
        <w:rPr>
          <w:rFonts w:ascii="Times New Roman" w:hAnsi="Times New Roman" w:cs="Times New Roman"/>
          <w:b/>
          <w:bCs/>
          <w:sz w:val="24"/>
          <w:szCs w:val="24"/>
        </w:rPr>
        <w:t>землепользованию и</w:t>
      </w:r>
      <w:r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застройк</w:t>
      </w:r>
      <w:r w:rsidR="00EC50C7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15BCD" w:rsidRPr="008732F9">
        <w:rPr>
          <w:rFonts w:ascii="Times New Roman" w:hAnsi="Times New Roman" w:cs="Times New Roman"/>
          <w:b/>
          <w:bCs/>
          <w:sz w:val="24"/>
          <w:szCs w:val="24"/>
        </w:rPr>
        <w:t>Сибирякского</w:t>
      </w:r>
      <w:r w:rsidR="00EC50C7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32F9" w:rsidRDefault="008732F9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15BCD">
        <w:rPr>
          <w:rFonts w:ascii="Times New Roman" w:hAnsi="Times New Roman" w:cs="Times New Roman"/>
          <w:bCs/>
          <w:sz w:val="24"/>
          <w:szCs w:val="24"/>
        </w:rPr>
        <w:t xml:space="preserve">Сибирякского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proofErr w:type="gramStart"/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EE07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23-пг</w:t>
      </w:r>
    </w:p>
    <w:p w:rsidR="0077250C" w:rsidRPr="008732F9" w:rsidRDefault="00B524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AC5EB3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деятельности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AC5EB3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415B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15BCD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BC">
              <w:rPr>
                <w:rFonts w:ascii="Times New Roman" w:hAnsi="Times New Roman" w:cs="Times New Roman"/>
                <w:sz w:val="24"/>
                <w:szCs w:val="24"/>
              </w:rPr>
              <w:t>Тахаудинов Виталий Сергеевич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415B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415BCD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Наталья Григорьевна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EE07BC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EE07BC" w:rsidP="00EE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Тулунского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17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7250C" w:rsidRPr="000A0D3E" w:rsidTr="00AC5EB3">
        <w:trPr>
          <w:trHeight w:val="1421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EE07BC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ИП КФХ « Тахаудинова Л.И.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Тахаудинова Любовь Ивановна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90" w:rsidRDefault="000D7D90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деятельности </w:t>
      </w:r>
      <w:r w:rsidR="00C304FA" w:rsidRPr="000D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0D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7D90" w:rsidRPr="000D7D90" w:rsidRDefault="000D7D90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Сибиряк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13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="000D7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Sibiriac</w:t>
      </w:r>
      <w:proofErr w:type="spellEnd"/>
      <w:r w:rsidR="000D7D90" w:rsidRP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D7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0D7D90" w:rsidRP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D7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5BB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убликуется в газете "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Сибирякский 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вестник" и размещается на сайте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A4" w:rsidRDefault="000870A4" w:rsidP="009E3988">
      <w:pPr>
        <w:spacing w:before="0" w:after="0"/>
      </w:pPr>
      <w:r>
        <w:separator/>
      </w:r>
    </w:p>
  </w:endnote>
  <w:endnote w:type="continuationSeparator" w:id="0">
    <w:p w:rsidR="000870A4" w:rsidRDefault="000870A4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A4" w:rsidRDefault="000870A4" w:rsidP="009E3988">
      <w:pPr>
        <w:spacing w:before="0" w:after="0"/>
      </w:pPr>
      <w:r>
        <w:separator/>
      </w:r>
    </w:p>
  </w:footnote>
  <w:footnote w:type="continuationSeparator" w:id="0">
    <w:p w:rsidR="000870A4" w:rsidRDefault="000870A4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2F"/>
    <w:rsid w:val="000722C5"/>
    <w:rsid w:val="000870A4"/>
    <w:rsid w:val="000A0D3E"/>
    <w:rsid w:val="000D37C2"/>
    <w:rsid w:val="000D5648"/>
    <w:rsid w:val="000D6A42"/>
    <w:rsid w:val="000D7D90"/>
    <w:rsid w:val="00107FF7"/>
    <w:rsid w:val="00115BBE"/>
    <w:rsid w:val="001428CF"/>
    <w:rsid w:val="0019382F"/>
    <w:rsid w:val="001C0742"/>
    <w:rsid w:val="00206799"/>
    <w:rsid w:val="0022664E"/>
    <w:rsid w:val="00271FA0"/>
    <w:rsid w:val="00297C25"/>
    <w:rsid w:val="002D1375"/>
    <w:rsid w:val="00304FD7"/>
    <w:rsid w:val="003C77E0"/>
    <w:rsid w:val="00415BCD"/>
    <w:rsid w:val="00454981"/>
    <w:rsid w:val="004D3FF1"/>
    <w:rsid w:val="004D67EB"/>
    <w:rsid w:val="00553205"/>
    <w:rsid w:val="00592552"/>
    <w:rsid w:val="005A1498"/>
    <w:rsid w:val="005D0651"/>
    <w:rsid w:val="005F6503"/>
    <w:rsid w:val="00630078"/>
    <w:rsid w:val="00641EF2"/>
    <w:rsid w:val="00643653"/>
    <w:rsid w:val="00671221"/>
    <w:rsid w:val="00694D63"/>
    <w:rsid w:val="00697549"/>
    <w:rsid w:val="006C70EA"/>
    <w:rsid w:val="006D017C"/>
    <w:rsid w:val="00762C71"/>
    <w:rsid w:val="0077250C"/>
    <w:rsid w:val="00805D7D"/>
    <w:rsid w:val="008732F9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C5EB3"/>
    <w:rsid w:val="00B341C5"/>
    <w:rsid w:val="00B5245E"/>
    <w:rsid w:val="00B55164"/>
    <w:rsid w:val="00BC37CB"/>
    <w:rsid w:val="00BD7F3A"/>
    <w:rsid w:val="00C304FA"/>
    <w:rsid w:val="00C31DCD"/>
    <w:rsid w:val="00C32C13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E5138D"/>
    <w:rsid w:val="00EC50C7"/>
    <w:rsid w:val="00EE07BC"/>
    <w:rsid w:val="00EE0FED"/>
    <w:rsid w:val="00F00ABE"/>
    <w:rsid w:val="00F17999"/>
    <w:rsid w:val="00F31FE3"/>
    <w:rsid w:val="00F532D9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22</cp:revision>
  <cp:lastPrinted>2015-12-02T05:00:00Z</cp:lastPrinted>
  <dcterms:created xsi:type="dcterms:W3CDTF">2015-06-23T07:24:00Z</dcterms:created>
  <dcterms:modified xsi:type="dcterms:W3CDTF">2015-12-02T05:00:00Z</dcterms:modified>
</cp:coreProperties>
</file>